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</w:rPr>
        <w:t>Zelle</w:t>
      </w:r>
    </w:p>
    <w:p>
      <w:pPr>
        <w:pStyle w:val="Überschrift"/>
        <w:bidi w:val="0"/>
      </w:pPr>
      <w:r>
        <w:rPr>
          <w:color w:val="6dc037"/>
          <w:rtl w:val="0"/>
          <w:lang w:val="de-DE"/>
        </w:rPr>
        <w:t>Bau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-98303</wp:posOffset>
            </wp:positionH>
            <wp:positionV relativeFrom="line">
              <wp:posOffset>412284</wp:posOffset>
            </wp:positionV>
            <wp:extent cx="6303808" cy="329979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Zel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470" r="0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6303808" cy="3299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Überschrift"/>
        <w:bidi w:val="0"/>
      </w:pPr>
    </w:p>
    <w:p>
      <w:pPr>
        <w:pStyle w:val="Überschrift"/>
        <w:bidi w:val="0"/>
      </w:pPr>
      <w:r>
        <w:rPr>
          <w:rtl w:val="0"/>
        </w:rPr>
        <w:t>Funktion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Zellmembran; Bildung Kompartimente, selektiver Stoffaustausch (intra- und extrazellul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rer Raum)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Chloroplast; Photosynthese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Chromoplast; Farbgebung von Zellen z. B.: rot oder gelb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Mitochondrium; Energiegewinnung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Endoplasmatisches Retikulum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Raues (mit Ribosomen besetzt); Ort der Translation, Speicherung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Glattes (ohne Ribosomen); Entgiftung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Nucleolus; Synthese von Ribosomen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Nucleus; Speicherung des Erbmaterials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Vakuole; </w:t>
      </w:r>
      <w:r>
        <w:rPr>
          <w:rFonts w:ascii="Avenir Book" w:hAnsi="Avenir Book"/>
          <w:rtl w:val="0"/>
          <w:lang w:val="de-DE"/>
        </w:rPr>
        <w:t>Speicherung von Wasser und N</w:t>
      </w:r>
      <w:r>
        <w:rPr>
          <w:rFonts w:ascii="Avenir Book" w:hAnsi="Avenir Book" w:hint="default"/>
          <w:rtl w:val="0"/>
        </w:rPr>
        <w:t>ä</w:t>
      </w:r>
      <w:r>
        <w:rPr>
          <w:rFonts w:ascii="Avenir Book" w:hAnsi="Avenir Book"/>
          <w:rtl w:val="0"/>
          <w:lang w:val="nl-NL"/>
        </w:rPr>
        <w:t>hrstoffen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Ribosomen; Proteinbiosynthese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Cytoplasma; Transportmedium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Golgiapperat; Auspr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gung von Vesikeln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Zellwand; Schutz und Stabilit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</w:t>
      </w:r>
    </w:p>
    <w:sectPr>
      <w:headerReference w:type="default" r:id="rId5"/>
      <w:footerReference w:type="default" r:id="rId6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3597810</wp:posOffset>
          </wp:positionH>
          <wp:positionV relativeFrom="page">
            <wp:posOffset>10156203</wp:posOffset>
          </wp:positionV>
          <wp:extent cx="364435" cy="36443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35" cy="364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Alphabetisch"/>
  </w:abstractNum>
  <w:abstractNum w:abstractNumId="3">
    <w:multiLevelType w:val="hybridMultilevel"/>
    <w:styleLink w:val="Alphabetisch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  <w:style w:type="numbering" w:styleId="Alphabetisch">
    <w:name w:val="Alphabetisc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