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Titel"/>
        <w:bidi w:val="0"/>
      </w:pPr>
      <w:r>
        <w:rPr>
          <w:rtl w:val="0"/>
          <w:lang w:val="de-DE"/>
        </w:rPr>
        <w:t>Wachstumsarten</w:t>
      </w:r>
    </w:p>
    <w:p>
      <w:pPr>
        <w:pStyle w:val="Überschrift"/>
        <w:bidi w:val="0"/>
      </w:pPr>
      <w:r>
        <w:rPr>
          <w:rtl w:val="0"/>
        </w:rPr>
        <w:t>Arten</w:t>
      </w:r>
    </w:p>
    <w:tbl>
      <w:tblPr>
        <w:tblW w:w="96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210"/>
        <w:gridCol w:w="3211"/>
        <w:gridCol w:w="3211"/>
      </w:tblGrid>
      <w:tr>
        <w:tblPrEx>
          <w:shd w:val="clear" w:color="auto" w:fill="bdc0bf"/>
        </w:tblPrEx>
        <w:trPr>
          <w:trHeight w:val="288" w:hRule="atLeast"/>
          <w:tblHeader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6dc03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1"/>
            </w:pPr>
            <w:r>
              <w:rPr>
                <w:rFonts w:ascii="Avenir Heavy" w:hAnsi="Avenir Heavy"/>
                <w:b w:val="0"/>
                <w:bCs w:val="0"/>
              </w:rPr>
              <w:t>Logistisches Wachstum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6dc03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1"/>
            </w:pPr>
            <w:r>
              <w:rPr>
                <w:rFonts w:ascii="Avenir Heavy" w:hAnsi="Avenir Heavy"/>
                <w:b w:val="0"/>
                <w:bCs w:val="0"/>
              </w:rPr>
              <w:t>Exponentielles Wachstum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6dc03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1"/>
            </w:pPr>
            <w:r>
              <w:rPr>
                <w:rFonts w:ascii="Avenir Heavy" w:hAnsi="Avenir Heavy"/>
                <w:b w:val="0"/>
                <w:bCs w:val="0"/>
              </w:rPr>
              <w:t>Superexponentielles Wachstum</w:t>
            </w:r>
          </w:p>
        </w:tc>
      </w:tr>
      <w:tr>
        <w:tblPrEx>
          <w:shd w:val="clear" w:color="auto" w:fill="auto"/>
        </w:tblPrEx>
        <w:trPr>
          <w:trHeight w:val="3127" w:hRule="atLeast"/>
        </w:trPr>
        <w:tc>
          <w:tcPr>
            <w:tcW w:type="dxa" w:w="321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cs="Avenir Book" w:hAnsi="Avenir Book" w:eastAsia="Avenir Book"/>
              </w:rPr>
              <w:drawing>
                <wp:inline distT="0" distB="0" distL="0" distR="0">
                  <wp:extent cx="2038961" cy="2038961"/>
                  <wp:effectExtent l="0" t="0" r="0" b="0"/>
                  <wp:docPr id="107374182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BEDBCDBA-6BC9-4365-8EE3-0CD1487737FD-L0-00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961" cy="203896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cs="Avenir Book" w:hAnsi="Avenir Book" w:eastAsia="Avenir Book"/>
              </w:rPr>
              <w:drawing>
                <wp:inline distT="0" distB="0" distL="0" distR="0">
                  <wp:extent cx="2038961" cy="2038961"/>
                  <wp:effectExtent l="0" t="0" r="0" b="0"/>
                  <wp:docPr id="107374182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6F849D64-8DD8-4DE9-B051-2AB515EDE21C-L0-001.pn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961" cy="203896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</w:pPr>
            <w:r>
              <w:drawing>
                <wp:inline distT="0" distB="0" distL="0" distR="0">
                  <wp:extent cx="2038961" cy="2038961"/>
                  <wp:effectExtent l="0" t="0" r="0" b="0"/>
                  <wp:docPr id="107374183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5255A3D4-2353-4579-A8D1-CB676CE4B296-L0-001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961" cy="203896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auto"/>
        </w:tblPrEx>
        <w:trPr>
          <w:trHeight w:val="56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hAnsi="Avenir Book"/>
              </w:rPr>
              <w:t>Populationsgr</w:t>
            </w:r>
            <w:r>
              <w:rPr>
                <w:rFonts w:ascii="Avenir Book" w:hAnsi="Avenir Book" w:hint="default"/>
              </w:rPr>
              <w:t>öß</w:t>
            </w:r>
            <w:r>
              <w:rPr>
                <w:rFonts w:ascii="Avenir Book" w:hAnsi="Avenir Book"/>
              </w:rPr>
              <w:t>e durch Kapazit</w:t>
            </w:r>
            <w:r>
              <w:rPr>
                <w:rFonts w:ascii="Avenir Book" w:hAnsi="Avenir Book" w:hint="default"/>
              </w:rPr>
              <w:t>ä</w:t>
            </w:r>
            <w:r>
              <w:rPr>
                <w:rFonts w:ascii="Avenir Book" w:hAnsi="Avenir Book"/>
              </w:rPr>
              <w:t>t der Umwelt eingegrenzt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hAnsi="Avenir Book"/>
              </w:rPr>
              <w:t>Unendliche Populationsgr</w:t>
            </w:r>
            <w:r>
              <w:rPr>
                <w:rFonts w:ascii="Avenir Book" w:hAnsi="Avenir Book" w:hint="default"/>
              </w:rPr>
              <w:t>öß</w:t>
            </w:r>
            <w:r>
              <w:rPr>
                <w:rFonts w:ascii="Avenir Book" w:hAnsi="Avenir Book"/>
              </w:rPr>
              <w:t xml:space="preserve">e 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hAnsi="Avenir Book"/>
              </w:rPr>
              <w:t>Unendliche Populationsgr</w:t>
            </w:r>
            <w:r>
              <w:rPr>
                <w:rFonts w:ascii="Avenir Book" w:hAnsi="Avenir Book" w:hint="default"/>
              </w:rPr>
              <w:t>öß</w:t>
            </w:r>
            <w:r>
              <w:rPr>
                <w:rFonts w:ascii="Avenir Book" w:hAnsi="Avenir Book"/>
              </w:rPr>
              <w:t>e</w:t>
            </w:r>
          </w:p>
        </w:tc>
      </w:tr>
      <w:tr>
        <w:tblPrEx>
          <w:shd w:val="clear" w:color="auto" w:fill="auto"/>
        </w:tblPrEx>
        <w:trPr>
          <w:trHeight w:val="845" w:hRule="atLeast"/>
        </w:trPr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hAnsi="Avenir Book"/>
              </w:rPr>
              <w:t>Erreichen einer maximalen Populationsgr</w:t>
            </w:r>
            <w:r>
              <w:rPr>
                <w:rFonts w:ascii="Avenir Book" w:hAnsi="Avenir Book" w:hint="default"/>
              </w:rPr>
              <w:t>öß</w:t>
            </w:r>
            <w:r>
              <w:rPr>
                <w:rFonts w:ascii="Avenir Book" w:hAnsi="Avenir Book"/>
              </w:rPr>
              <w:t>e nach einer bestimmten Zeit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hAnsi="Avenir Book"/>
              </w:rPr>
              <w:t>Verdopplung der Populationsgr</w:t>
            </w:r>
            <w:r>
              <w:rPr>
                <w:rFonts w:ascii="Avenir Book" w:hAnsi="Avenir Book" w:hint="default"/>
              </w:rPr>
              <w:t>öß</w:t>
            </w:r>
            <w:r>
              <w:rPr>
                <w:rFonts w:ascii="Avenir Book" w:hAnsi="Avenir Book"/>
              </w:rPr>
              <w:t>e in bestimmten Zeitabstand</w:t>
            </w:r>
          </w:p>
        </w:tc>
        <w:tc>
          <w:tcPr>
            <w:tcW w:type="dxa" w:w="3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rFonts w:ascii="Avenir Book" w:hAnsi="Avenir Book"/>
              </w:rPr>
              <w:t>Stufenweise Verdopplung der Populationsgr</w:t>
            </w:r>
            <w:r>
              <w:rPr>
                <w:rFonts w:ascii="Avenir Book" w:hAnsi="Avenir Book" w:hint="default"/>
              </w:rPr>
              <w:t>öß</w:t>
            </w:r>
            <w:r>
              <w:rPr>
                <w:rFonts w:ascii="Avenir Book" w:hAnsi="Avenir Book"/>
              </w:rPr>
              <w:t>e</w:t>
            </w:r>
          </w:p>
        </w:tc>
      </w:tr>
    </w:tbl>
    <w:p>
      <w:pPr>
        <w:pStyle w:val="Text"/>
      </w:pPr>
    </w:p>
    <w:sectPr>
      <w:headerReference w:type="default" r:id="rId7"/>
      <w:footerReference w:type="default" r:id="rId8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2017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</w:t>
    </w:r>
    <w:r>
      <w:rPr>
        <w:rFonts w:ascii="Avenir Book" w:hAnsi="Avenir Book"/>
        <w:color w:val="6dc037"/>
        <w:rtl w:val="0"/>
        <w:lang w:val="en-US"/>
      </w:rPr>
      <w:t>ernzettel-online.de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1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3600774</wp:posOffset>
          </wp:positionH>
          <wp:positionV relativeFrom="page">
            <wp:posOffset>10161037</wp:posOffset>
          </wp:positionV>
          <wp:extent cx="358507" cy="358507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507" cy="35850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paragraph" w:styleId="Tabellenstil 1">
    <w:name w:val="Tabellenstil 1"/>
    <w:next w:val="Tabellenstil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4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