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el"/>
        <w:bidi w:val="0"/>
      </w:pPr>
      <w:r>
        <w:rPr>
          <w:rtl w:val="0"/>
          <w:lang w:val="de-DE"/>
        </w:rPr>
        <w:t>Sehen</w:t>
      </w:r>
      <w:r>
        <w:rPr>
          <w:rtl w:val="0"/>
        </w:rPr>
        <w:t xml:space="preserve"> </w:t>
      </w:r>
    </w:p>
    <w:p>
      <w:pPr>
        <w:pStyle w:val="Überschrift"/>
        <w:bidi w:val="0"/>
      </w:pPr>
      <w:r>
        <w:rPr>
          <w:rtl w:val="0"/>
        </w:rPr>
        <w:t>Rhodopsinzyklus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Licht trifft auf 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bchen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11-cis-Retinal reagiert durch Lichtenergie zu all-Trans-Retinal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bchen im aktivierten Zustand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Signalkaskarde wird ausgel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 xml:space="preserve">st 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Durch Retinalreaktion Aussch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ttung von Enzymen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Enzyme lassen cGMP zu GMP reagieren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Im Au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ensegment sinkt Konzentration an cGMP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cGMP-Abh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ngige Ionenkan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le schlie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 xml:space="preserve">en 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Glutamataussch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ttung stoppt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Bipolarzelle wird ge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ffnet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Adaption</w:t>
      </w:r>
    </w:p>
    <w:p>
      <w:pPr>
        <w:pStyle w:val="Text"/>
        <w:numPr>
          <w:ilvl w:val="0"/>
          <w:numId w:val="4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Anpassung der Blende an Lichtverh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ltnisse</w:t>
      </w:r>
    </w:p>
    <w:p>
      <w:pPr>
        <w:pStyle w:val="Text"/>
        <w:numPr>
          <w:ilvl w:val="0"/>
          <w:numId w:val="4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Aktivierung von 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bchen und Zapfen je nach Lichtsituation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Untertitel"/>
        <w:bidi w:val="0"/>
      </w:pPr>
      <w:r>
        <w:rPr>
          <w:rtl w:val="0"/>
        </w:rPr>
        <w:t>Lichtadaption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Blende wenig ge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ffnet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Zapfen f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r Farbsehen aktiviert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Untertitel"/>
        <w:bidi w:val="0"/>
      </w:pPr>
      <w:r>
        <w:rPr>
          <w:rtl w:val="0"/>
        </w:rPr>
        <w:t>Dunkeladaption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Blende weit ge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ffnet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bchen f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r schwarz-wei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-Sehen aktiviert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Erh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hung der Lichtausbeute: wesentlich mehr 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bchen als Zapfen, mehrere St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bchen f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hren zu einer Synapse, Erh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hung der Rhodopsinmenge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Akkomodation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Anpassung der Brechkraft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Differenzierung von Nah- und Fernpunkt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ndelung der Lichtstrahlen auf m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glichst einem Punkt der Netzhaut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Farbensehen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Mensch: trichromatisch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Farbspektrum: 390 nm bis 700 nm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L-, M-, S-Zapfen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Rezeptoren f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r Blau, Gr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n, Rot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Additive Farbmischung: Verrechnung der einzelnen Informationen aus einzelnen Zapfen; daher Erkennen und Darstellen aller Farben m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 xml:space="preserve">glich </w:t>
      </w:r>
    </w:p>
    <w:p>
      <w:pPr>
        <w:pStyle w:val="Text"/>
        <w:numPr>
          <w:ilvl w:val="0"/>
          <w:numId w:val="5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Farbton, S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ttigkeit, Helligkeit wahrnehmbar</w:t>
      </w:r>
    </w:p>
    <w:sectPr>
      <w:headerReference w:type="default" r:id="rId4"/>
      <w:footerReference w:type="default" r:id="rId5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2017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</w:t>
    </w:r>
    <w:r>
      <w:rPr>
        <w:rFonts w:ascii="Avenir Book" w:hAnsi="Avenir Book"/>
        <w:color w:val="6dc037"/>
        <w:rtl w:val="0"/>
        <w:lang w:val="en-US"/>
      </w:rPr>
      <w:t>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3599469</wp:posOffset>
          </wp:positionH>
          <wp:positionV relativeFrom="page">
            <wp:posOffset>10155106</wp:posOffset>
          </wp:positionV>
          <wp:extent cx="361118" cy="361118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118" cy="36111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Aufzählungszeichen"/>
  </w:abstractNum>
  <w:abstractNum w:abstractNumId="1">
    <w:multiLevelType w:val="hybridMultilevel"/>
    <w:styleLink w:val="Aufzählungszeichen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meriert"/>
  </w:abstractNum>
  <w:abstractNum w:abstractNumId="3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numbering" w:styleId="Aufzählungszeichen">
    <w:name w:val="Aufzählungszeichen"/>
    <w:pPr>
      <w:numPr>
        <w:numId w:val="1"/>
      </w:numPr>
    </w:pPr>
  </w:style>
  <w:style w:type="numbering" w:styleId="Nummeriert">
    <w:name w:val="Nummeriert"/>
    <w:pPr>
      <w:numPr>
        <w:numId w:val="3"/>
      </w:numPr>
    </w:pPr>
  </w:style>
  <w:style w:type="paragraph" w:styleId="Untertitel">
    <w:name w:val="Untertitel"/>
    <w:next w:val="Untertitel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